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Crypto Optimal Analysis for LONGS Based on Trendline Slope</w:t>
      </w:r>
    </w:p>
    <w:p>
      <w:r>
        <w:t>Current time 2021-06-01 15:57:08.354240</w:t>
      </w:r>
    </w:p>
    <w:p>
      <w:pPr>
        <w:pStyle w:val="Heading1"/>
      </w:pPr>
      <w:r>
        <w:t>Buy Signals for</w:t>
      </w:r>
    </w:p>
    <w:p>
      <w:r>
        <w:t xml:space="preserve">BUY Signals (in order) for </w:t>
      </w:r>
    </w:p>
    <w:p>
      <w:r>
        <w:t>4       ETCUSDT</w:t>
        <w:br/>
        <w:t>10      XMRUSDT</w:t>
        <w:br/>
        <w:t>11      LTCUSDT</w:t>
        <w:br/>
        <w:t>17      BNBUSDT</w:t>
        <w:br/>
        <w:t>18      BCHUSDT</w:t>
        <w:br/>
        <w:t>21      ETHUSDT</w:t>
        <w:br/>
        <w:t>23      BTCUSDT</w:t>
        <w:br/>
        <w:t>28      EOSUSDT</w:t>
        <w:br/>
        <w:t>30    WAVESUSDT</w:t>
        <w:br/>
        <w:t>31     DASHUSDT</w:t>
        <w:br/>
        <w:t>35      RLCUSDT</w:t>
        <w:br/>
        <w:t>Name: Pair, dtype: object</w:t>
      </w:r>
    </w:p>
    <w:p>
      <w:pPr>
        <w:pStyle w:val="Heading1"/>
      </w:pPr>
      <w:r>
        <w:t>Pair Selection Based on Trendline Slope</w:t>
      </w:r>
    </w:p>
    <w:p>
      <w:r>
        <w:t>Standard Deviation 0.04246072071066052</w:t>
      </w:r>
    </w:p>
    <w:p>
      <w:r>
        <w:t>Volume 73,137.822909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TCUSDT1dSignal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TCUSDT1dTren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TCUSDT1dFi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0.05953673848849995</w:t>
      </w:r>
    </w:p>
    <w:p>
      <w:r>
        <w:t>Volume 123,680.53603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USDT1dSignal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USDT1dTren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USDT1dFib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0.0660024649466077</w:t>
      </w:r>
    </w:p>
    <w:p>
      <w:r>
        <w:t>Volume 141,738.10081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7" name="Pictur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DASHUSDT1dSignals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8" name="Picture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DASHUSDT1dTrend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9" name="Picture 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DASHUSDT1dFib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0.0747170283972732</w:t>
      </w:r>
    </w:p>
    <w:p>
      <w:r>
        <w:t>Volume 143,685.53706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10" name="Picture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CHUSDT1dSignals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11" name="Picture 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CHUSDT1dTrend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12" name="Picture 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CHUSDT1dFib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0.05885803029564709</w:t>
      </w:r>
    </w:p>
    <w:p>
      <w:r>
        <w:t>Volume 976,125.88514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13" name="Picture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TCUSDT1dSignals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14" name="Picture 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TCUSDT1dTrend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15" name="Picture 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TCUSDT1dFib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0.057052772034019185</w:t>
      </w:r>
    </w:p>
    <w:p>
      <w:r>
        <w:t>Volume 1,051,283.99484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16" name="Picture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THUSDT1dSignals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17" name="Picture 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THUSDT1dTrend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18" name="Picture 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THUSDT1dFib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0.06741218100995677</w:t>
      </w:r>
    </w:p>
    <w:p>
      <w:r>
        <w:t>Volume 1,651,360.966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19" name="Picture 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WAVESUSDT1dSignals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0" name="Picture 2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WAVESUSDT1dTrend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1" name="Picture 2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WAVESUSDT1dFib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0.0641708078486358</w:t>
      </w:r>
    </w:p>
    <w:p>
      <w:r>
        <w:t>Volume 2,435,799.803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22" name="Picture 2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TCUSDT1dSignals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3" name="Picture 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TCUSDT1dTrend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4" name="Picture 2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TCUSDT1dFib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0.061862223224693695</w:t>
      </w:r>
    </w:p>
    <w:p>
      <w:r>
        <w:t>Volume 3,198,743.7768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25" name="Picture 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NBUSDT1dSignals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6" name="Picture 2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NBUSDT1dTrend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7" name="Picture 2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NBUSDT1dFib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0.10231080535499137</w:t>
      </w:r>
    </w:p>
    <w:p>
      <w:r>
        <w:t>Volume 8,550,461.14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28" name="Picture 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LCUSDT1dSignals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9" name="Picture 2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LCUSDT1dTrend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30" name="Picture 3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LCUSDT1dFib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p>
      <w:pPr>
        <w:pStyle w:val="Heading1"/>
      </w:pPr>
      <w:r>
        <w:t>Pair Selection Based on Trendline Slope</w:t>
      </w:r>
    </w:p>
    <w:p>
      <w:r>
        <w:t>Standard Deviation 0.0668596020864247</w:t>
      </w:r>
    </w:p>
    <w:p>
      <w:r>
        <w:t>Volume 36,741,450.33</w:t>
      </w:r>
    </w:p>
    <w:p>
      <w:r>
        <w:t>Fibonacci (Price &lt;= Golden Range) True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31" name="Picture 3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OSUSDT1dSignals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32" name="Picture 3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OSUSDT1dTrend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33" name="Picture 3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OSUSDT1dFib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/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